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38A51" w14:textId="77777777" w:rsidR="00271741" w:rsidRDefault="00000000">
      <w:pPr>
        <w:pStyle w:val="Title"/>
      </w:pPr>
      <w:r>
        <w:t>NSF SBIR Phase I – Project Summary / Abstract</w:t>
      </w:r>
    </w:p>
    <w:p w14:paraId="3B9E3D16" w14:textId="77777777" w:rsidR="00271741" w:rsidRDefault="00000000">
      <w:pPr>
        <w:pStyle w:val="Heading1"/>
      </w:pPr>
      <w:r>
        <w:t>Project Title: RapidSense – A Portable Microfluidic Diagnostic Patch for Early Infection Detection</w:t>
      </w:r>
    </w:p>
    <w:p w14:paraId="409A51FA" w14:textId="77777777" w:rsidR="00271741" w:rsidRDefault="00000000">
      <w:r>
        <w:t>Mock SBIR Portfolio Sample by Brad G. Philbrick, RPh</w:t>
      </w:r>
    </w:p>
    <w:p w14:paraId="7B47CD9E" w14:textId="01820A26" w:rsidR="00271741" w:rsidRDefault="00000000">
      <w:r>
        <w:t xml:space="preserve">Over my decades in hospital pharmacy, </w:t>
      </w:r>
      <w:r w:rsidR="00BC734F">
        <w:t>I have</w:t>
      </w:r>
      <w:r>
        <w:t xml:space="preserve"> witnessed patients whose localized cellulitis spiraled into sepsis or osteomyelitis because early signs were dismissed—or left undetected until it was too late. That memory fuels this project: what if a clinician could “see” molecular signs of infection hours before overt symptoms?</w:t>
      </w:r>
    </w:p>
    <w:p w14:paraId="0CA81286" w14:textId="77777777" w:rsidR="00271741" w:rsidRDefault="00000000">
      <w:pPr>
        <w:pStyle w:val="Heading2"/>
      </w:pPr>
      <w:r>
        <w:t>Problem &amp; Rationale</w:t>
      </w:r>
    </w:p>
    <w:p w14:paraId="26DB565A" w14:textId="77777777" w:rsidR="00271741" w:rsidRDefault="00000000">
      <w:r>
        <w:t>In hospital and clinical settings, delayed recognition of infection is a critical challenge. Minor wounds, skin breaks, or post‑operative sites can progress into deep tissue involvement, bacteremia, or systemic inflammation before clinical signs emerge. Conventional diagnostics (blood draws, cultures, imaging) often lag behind molecular changes; by the time fever or lab abnormalities appear, the window for early intervention may have narrowed. An accessible, minimally invasive diagnostic tool that detects early inflammatory biomarkers in situ could transform patient care, reduce length of stay, and diminish infection-related morbidity.</w:t>
      </w:r>
    </w:p>
    <w:p w14:paraId="478C92F6" w14:textId="77777777" w:rsidR="00271741" w:rsidRDefault="00000000">
      <w:pPr>
        <w:pStyle w:val="Heading2"/>
      </w:pPr>
      <w:r>
        <w:t>Solution / Innovation</w:t>
      </w:r>
    </w:p>
    <w:p w14:paraId="76EEC027" w14:textId="39851009" w:rsidR="00271741" w:rsidRDefault="00000000">
      <w:r>
        <w:t>RapidSense is a wearable, microfluidic diagnostic patch that samples interstitial fluid (ISF) and detects early‑stage infection biomarkers (e.g.</w:t>
      </w:r>
      <w:r w:rsidR="00BC734F">
        <w:t>,</w:t>
      </w:r>
      <w:r>
        <w:t xml:space="preserve"> CRP, procalcitonin, IL‑6) using integrated electrochemical or immunosensor arrays. The patch communicates wirelessly with hospital dashboards, triggering alerts for providers when biomarker thresholds are exceeded. Because ISF mirrors blood biomarker dynamics but is accessible via microneedles or reverse iontophoresis, it offers a path for continuous early detection.</w:t>
      </w:r>
    </w:p>
    <w:p w14:paraId="404EA1BD" w14:textId="77777777" w:rsidR="00271741" w:rsidRDefault="00000000">
      <w:r>
        <w:t>ISF-based wearable biosensors have been identified as a rising frontier in minimally invasive diagnostics (Nature Communications, 2024). Recent work has demonstrated real-time CRP detection using microneedle-enabled electrochemical sensors in ISF with high sensitivity (~0.7 µg/mL) and rapid response (~100 s) — a proof-of-concept for the core sensing modality of RapidSense (arXiv, 2024).</w:t>
      </w:r>
    </w:p>
    <w:p w14:paraId="239F9605" w14:textId="77777777" w:rsidR="00271741" w:rsidRDefault="00000000">
      <w:pPr>
        <w:pStyle w:val="Heading2"/>
      </w:pPr>
      <w:r>
        <w:t>Phase I Objective &amp; Specific Aims</w:t>
      </w:r>
    </w:p>
    <w:p w14:paraId="3C4B06CC" w14:textId="77777777" w:rsidR="00271741" w:rsidRDefault="00000000">
      <w:pPr>
        <w:pStyle w:val="ListNumber"/>
      </w:pPr>
      <w:r>
        <w:t>Develop and fabricate a prototype patch module integrating microfluidics, microneedles, multiplexed sensors, and wireless telemetry.</w:t>
      </w:r>
    </w:p>
    <w:p w14:paraId="255096CE" w14:textId="0B06B66E" w:rsidR="00271741" w:rsidRDefault="00000000">
      <w:pPr>
        <w:pStyle w:val="ListNumber"/>
      </w:pPr>
      <w:r>
        <w:lastRenderedPageBreak/>
        <w:t xml:space="preserve">Conduct </w:t>
      </w:r>
      <w:r w:rsidR="00BC734F">
        <w:t>in vitro</w:t>
      </w:r>
      <w:r>
        <w:t xml:space="preserve"> and ex vivo benchmarking against standard lab assays using human-derived interstitial fluid surrogates.</w:t>
      </w:r>
    </w:p>
    <w:p w14:paraId="1FB61662" w14:textId="77777777" w:rsidR="00271741" w:rsidRDefault="00000000">
      <w:pPr>
        <w:pStyle w:val="ListNumber"/>
      </w:pPr>
      <w:r>
        <w:t>Pilot in a clinical cohort (n = 20) of post‑surgical inpatients to measure concordance of patch readings with standard serum biomarkers and infection diagnostics.</w:t>
      </w:r>
    </w:p>
    <w:p w14:paraId="27857443" w14:textId="77777777" w:rsidR="00271741" w:rsidRDefault="00000000">
      <w:pPr>
        <w:pStyle w:val="Heading2"/>
      </w:pPr>
      <w:r>
        <w:t>Intellectual Merit &amp; Broader Impacts</w:t>
      </w:r>
    </w:p>
    <w:p w14:paraId="45C9ECD4" w14:textId="77777777" w:rsidR="00271741" w:rsidRDefault="00000000">
      <w:r>
        <w:t>RapidSense advances microfluidic and wearable diagnostic engineering, particularly in multiplex sensing of low-concentration inflammatory markers in ISF. It aligns with NSF’s vision of translating instrumentation innovation to high-impact applications. Beyond technical novelty, its broader impact is compelling: early detection of infection could reduce ICU burden, shorten hospital stays, lower antibiotic misuse, and enhance patient outcomes—especially among vulnerable populations (post-surgical, immunocompromised, diabetics). Integration into hospital EHR/clinical workflows (via FHIR/HL7) would position RapidSense for adoption by health systems and point-of-care settings.</w:t>
      </w:r>
    </w:p>
    <w:p w14:paraId="6E8F6D96" w14:textId="77777777" w:rsidR="00271741" w:rsidRDefault="00000000">
      <w:pPr>
        <w:pStyle w:val="Heading2"/>
      </w:pPr>
      <w:r>
        <w:t>References</w:t>
      </w:r>
    </w:p>
    <w:p w14:paraId="0F6BF4E7" w14:textId="77777777" w:rsidR="00271741" w:rsidRDefault="00000000">
      <w:pPr>
        <w:pStyle w:val="ListNumber"/>
      </w:pPr>
      <w:r>
        <w:t>1. Nature Communications (2024). 'Minimally invasive interstitial fluid biosensors for clinical monitoring.' DOI: 10.1038/s43246-024-00468-6.</w:t>
      </w:r>
    </w:p>
    <w:p w14:paraId="3B9EFA7D" w14:textId="77777777" w:rsidR="00271741" w:rsidRDefault="00000000">
      <w:pPr>
        <w:pStyle w:val="ListNumber"/>
      </w:pPr>
      <w:r>
        <w:t>2. arXiv (2024). 'Electrochemical CRP detection using microneedle biosensors in interstitial fluid.' arXiv:2407.16734.</w:t>
      </w:r>
    </w:p>
    <w:p w14:paraId="5CFC6C91" w14:textId="1B9160A0" w:rsidR="00271741" w:rsidRDefault="00000000">
      <w:pPr>
        <w:pStyle w:val="ListNumber"/>
      </w:pPr>
      <w:r>
        <w:t>3. Frontiers in Bioengineering and Biotechnology (2023). 'Microfluidic immunosensors for infection detection in hospital settings.' DOI: 10.3389/</w:t>
      </w:r>
      <w:proofErr w:type="spellStart"/>
      <w:r w:rsidR="00BC734F">
        <w:t>fbioe</w:t>
      </w:r>
      <w:proofErr w:type="spellEnd"/>
      <w:r w:rsidR="00BC734F">
        <w:t xml:space="preserve">. </w:t>
      </w:r>
      <w:r>
        <w:t>2023.1275821.</w:t>
      </w:r>
    </w:p>
    <w:sectPr w:rsidR="002717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3191386">
    <w:abstractNumId w:val="8"/>
  </w:num>
  <w:num w:numId="2" w16cid:durableId="970089231">
    <w:abstractNumId w:val="6"/>
  </w:num>
  <w:num w:numId="3" w16cid:durableId="119693377">
    <w:abstractNumId w:val="5"/>
  </w:num>
  <w:num w:numId="4" w16cid:durableId="468285331">
    <w:abstractNumId w:val="4"/>
  </w:num>
  <w:num w:numId="5" w16cid:durableId="466051147">
    <w:abstractNumId w:val="7"/>
  </w:num>
  <w:num w:numId="6" w16cid:durableId="1429350801">
    <w:abstractNumId w:val="3"/>
  </w:num>
  <w:num w:numId="7" w16cid:durableId="1040861367">
    <w:abstractNumId w:val="2"/>
  </w:num>
  <w:num w:numId="8" w16cid:durableId="802307187">
    <w:abstractNumId w:val="1"/>
  </w:num>
  <w:num w:numId="9" w16cid:durableId="385642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71741"/>
    <w:rsid w:val="0029639D"/>
    <w:rsid w:val="00326F90"/>
    <w:rsid w:val="006B436A"/>
    <w:rsid w:val="00AA1D8D"/>
    <w:rsid w:val="00B47730"/>
    <w:rsid w:val="00BC734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8B1525"/>
  <w14:defaultImageDpi w14:val="300"/>
  <w15:docId w15:val="{59351F46-7B4B-434C-98FE-52D0AEAD2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478</Words>
  <Characters>3247</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Philbrick</cp:lastModifiedBy>
  <cp:revision>2</cp:revision>
  <dcterms:created xsi:type="dcterms:W3CDTF">2025-10-14T16:21:00Z</dcterms:created>
  <dcterms:modified xsi:type="dcterms:W3CDTF">2025-10-14T16:21:00Z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c7aff514-131c-4292-a972-68a6bef21842</vt:lpwstr>
  </property>
</Properties>
</file>