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007E" w14:textId="77777777" w:rsidR="001009C9" w:rsidRPr="001009C9" w:rsidRDefault="001009C9" w:rsidP="001009C9">
      <w:r w:rsidRPr="001009C9">
        <w:rPr>
          <w:b/>
          <w:bCs/>
        </w:rPr>
        <w:t>From Concept to Community Care: Strengthening a Rural Health Clinic’s Funding Readiness</w:t>
      </w:r>
      <w:r w:rsidRPr="001009C9">
        <w:br/>
      </w:r>
      <w:r w:rsidRPr="001009C9">
        <w:rPr>
          <w:i/>
          <w:iCs/>
        </w:rPr>
        <w:t>By Brad G. Philbrick, RPh</w:t>
      </w:r>
      <w:r w:rsidRPr="001009C9">
        <w:br/>
      </w:r>
      <w:r w:rsidRPr="001009C9">
        <w:rPr>
          <w:i/>
          <w:iCs/>
        </w:rPr>
        <w:t>(Case study based on a realistic composite scenario. Names and identifiers have been adapted for confidentiality.)</w:t>
      </w:r>
    </w:p>
    <w:p w14:paraId="065BC9DA" w14:textId="77777777" w:rsidR="001009C9" w:rsidRPr="001009C9" w:rsidRDefault="001009C9" w:rsidP="001009C9">
      <w:r w:rsidRPr="001009C9">
        <w:pict w14:anchorId="41AB36FC">
          <v:rect id="_x0000_i1055" style="width:0;height:1.5pt" o:hralign="center" o:hrstd="t" o:hr="t" fillcolor="#a0a0a0" stroked="f"/>
        </w:pict>
      </w:r>
    </w:p>
    <w:p w14:paraId="0A5B6F37" w14:textId="77777777" w:rsidR="001009C9" w:rsidRPr="001009C9" w:rsidRDefault="001009C9" w:rsidP="001009C9">
      <w:pPr>
        <w:rPr>
          <w:b/>
          <w:bCs/>
        </w:rPr>
      </w:pPr>
      <w:r w:rsidRPr="001009C9">
        <w:rPr>
          <w:b/>
          <w:bCs/>
        </w:rPr>
        <w:t>Background / Challenge</w:t>
      </w:r>
    </w:p>
    <w:p w14:paraId="70C63B3D" w14:textId="77777777" w:rsidR="001009C9" w:rsidRPr="001009C9" w:rsidRDefault="001009C9" w:rsidP="001009C9">
      <w:r w:rsidRPr="001009C9">
        <w:t xml:space="preserve">In a small Midwestern town, a community health clinic struggled to meet rising patient needs with limited resources. Serving nearly 8,000 </w:t>
      </w:r>
      <w:proofErr w:type="gramStart"/>
      <w:r w:rsidRPr="001009C9">
        <w:t>residents—</w:t>
      </w:r>
      <w:proofErr w:type="gramEnd"/>
      <w:r w:rsidRPr="001009C9">
        <w:t xml:space="preserve">many of them elderly or </w:t>
      </w:r>
      <w:proofErr w:type="gramStart"/>
      <w:r w:rsidRPr="001009C9">
        <w:t>uninsured—</w:t>
      </w:r>
      <w:proofErr w:type="gramEnd"/>
      <w:r w:rsidRPr="001009C9">
        <w:t>the clinic operated on a lean budget, with overworked staff and outdated technology.</w:t>
      </w:r>
    </w:p>
    <w:p w14:paraId="7FDB7E14" w14:textId="77777777" w:rsidR="001009C9" w:rsidRPr="001009C9" w:rsidRDefault="001009C9" w:rsidP="001009C9">
      <w:r w:rsidRPr="001009C9">
        <w:t>The executive director knew that federal and foundation grants could expand preventive care, telehealth access, and chronic disease management programs. However, the clinic had never developed a formal grant readiness process, and previous proposals lacked measurable outcomes, budget clarity, and alignment with funder priorities.</w:t>
      </w:r>
    </w:p>
    <w:p w14:paraId="2280CD43" w14:textId="38A50049" w:rsidR="001009C9" w:rsidRPr="001009C9" w:rsidRDefault="001009C9" w:rsidP="001009C9">
      <w:r w:rsidRPr="001009C9">
        <w:t xml:space="preserve">They needed more than a grant writer—they needed a strategic partner to help them become </w:t>
      </w:r>
      <w:r>
        <w:rPr>
          <w:i/>
          <w:iCs/>
        </w:rPr>
        <w:t>grant-ready</w:t>
      </w:r>
      <w:r w:rsidRPr="001009C9">
        <w:rPr>
          <w:i/>
          <w:iCs/>
        </w:rPr>
        <w:t>.</w:t>
      </w:r>
    </w:p>
    <w:p w14:paraId="424F50E4" w14:textId="77777777" w:rsidR="001009C9" w:rsidRPr="001009C9" w:rsidRDefault="001009C9" w:rsidP="001009C9">
      <w:r w:rsidRPr="001009C9">
        <w:pict w14:anchorId="606930D2">
          <v:rect id="_x0000_i1056" style="width:0;height:1.5pt" o:hralign="center" o:hrstd="t" o:hr="t" fillcolor="#a0a0a0" stroked="f"/>
        </w:pict>
      </w:r>
    </w:p>
    <w:p w14:paraId="77DF1497" w14:textId="77777777" w:rsidR="001009C9" w:rsidRPr="001009C9" w:rsidRDefault="001009C9" w:rsidP="001009C9">
      <w:pPr>
        <w:rPr>
          <w:b/>
          <w:bCs/>
        </w:rPr>
      </w:pPr>
      <w:r w:rsidRPr="001009C9">
        <w:rPr>
          <w:b/>
          <w:bCs/>
        </w:rPr>
        <w:t>Solution / Approach</w:t>
      </w:r>
    </w:p>
    <w:p w14:paraId="4425D5EC" w14:textId="77777777" w:rsidR="001009C9" w:rsidRPr="001009C9" w:rsidRDefault="001009C9" w:rsidP="001009C9">
      <w:r w:rsidRPr="001009C9">
        <w:t xml:space="preserve">My first step was to guide the leadership team through a </w:t>
      </w:r>
      <w:r w:rsidRPr="001009C9">
        <w:rPr>
          <w:b/>
          <w:bCs/>
        </w:rPr>
        <w:t>Grant Readiness Assessment</w:t>
      </w:r>
      <w:r w:rsidRPr="001009C9">
        <w:t xml:space="preserve"> using my </w:t>
      </w:r>
      <w:r w:rsidRPr="001009C9">
        <w:rPr>
          <w:i/>
          <w:iCs/>
        </w:rPr>
        <w:t>Grant Readiness Checklist</w:t>
      </w:r>
      <w:r w:rsidRPr="001009C9">
        <w:t>, a diagnostic tool I developed to help organizations benchmark their preparedness for competitive funding.</w:t>
      </w:r>
    </w:p>
    <w:p w14:paraId="7A8C9C51" w14:textId="77777777" w:rsidR="001009C9" w:rsidRPr="001009C9" w:rsidRDefault="001009C9" w:rsidP="001009C9">
      <w:r w:rsidRPr="001009C9">
        <w:t xml:space="preserve">We evaluated their strengths (dedicated staff, strong local partnerships) and gaps (limited outcome data, unclear program design). Together, we prioritized three key </w:t>
      </w:r>
      <w:proofErr w:type="gramStart"/>
      <w:r w:rsidRPr="001009C9">
        <w:t>improvement areas</w:t>
      </w:r>
      <w:proofErr w:type="gramEnd"/>
      <w:r w:rsidRPr="001009C9">
        <w:t>:</w:t>
      </w:r>
    </w:p>
    <w:p w14:paraId="7F55CA9B" w14:textId="77777777" w:rsidR="001009C9" w:rsidRPr="001009C9" w:rsidRDefault="001009C9" w:rsidP="001009C9">
      <w:pPr>
        <w:numPr>
          <w:ilvl w:val="0"/>
          <w:numId w:val="1"/>
        </w:numPr>
      </w:pPr>
      <w:r w:rsidRPr="001009C9">
        <w:rPr>
          <w:b/>
          <w:bCs/>
        </w:rPr>
        <w:t>Data and Impact Tracking</w:t>
      </w:r>
      <w:r w:rsidRPr="001009C9">
        <w:t xml:space="preserve"> – Defining measurable health outcomes and patient success stories.</w:t>
      </w:r>
    </w:p>
    <w:p w14:paraId="194A8DD4" w14:textId="77777777" w:rsidR="001009C9" w:rsidRPr="001009C9" w:rsidRDefault="001009C9" w:rsidP="001009C9">
      <w:pPr>
        <w:numPr>
          <w:ilvl w:val="0"/>
          <w:numId w:val="1"/>
        </w:numPr>
      </w:pPr>
      <w:r w:rsidRPr="001009C9">
        <w:rPr>
          <w:b/>
          <w:bCs/>
        </w:rPr>
        <w:t>Narrative Clarity</w:t>
      </w:r>
      <w:r w:rsidRPr="001009C9">
        <w:t xml:space="preserve"> – Refining their mission story into a concise, funder-focused narrative.</w:t>
      </w:r>
    </w:p>
    <w:p w14:paraId="5C2FB8AF" w14:textId="77777777" w:rsidR="001009C9" w:rsidRPr="001009C9" w:rsidRDefault="001009C9" w:rsidP="001009C9">
      <w:pPr>
        <w:numPr>
          <w:ilvl w:val="0"/>
          <w:numId w:val="1"/>
        </w:numPr>
      </w:pPr>
      <w:r w:rsidRPr="001009C9">
        <w:rPr>
          <w:b/>
          <w:bCs/>
        </w:rPr>
        <w:t>Strategic Alignment</w:t>
      </w:r>
      <w:r w:rsidRPr="001009C9">
        <w:t xml:space="preserve"> – Identifying funders who shared their goals in rural health equity, telemedicine, and chronic disease prevention.</w:t>
      </w:r>
    </w:p>
    <w:p w14:paraId="2DCCF408" w14:textId="77777777" w:rsidR="001009C9" w:rsidRPr="001009C9" w:rsidRDefault="001009C9" w:rsidP="001009C9">
      <w:r w:rsidRPr="001009C9">
        <w:lastRenderedPageBreak/>
        <w:t>From there, I collaborated with clinic leadership to craft a comprehensive proposal strategy. We created clear goals, evidence-based justifications, and a sustainability plan that demonstrated long-term viability—key factors reviewers look for in public health grants.</w:t>
      </w:r>
    </w:p>
    <w:p w14:paraId="2ABAA44F" w14:textId="77777777" w:rsidR="001009C9" w:rsidRPr="001009C9" w:rsidRDefault="001009C9" w:rsidP="001009C9">
      <w:r w:rsidRPr="001009C9">
        <w:pict w14:anchorId="3E82C8DF">
          <v:rect id="_x0000_i1057" style="width:0;height:1.5pt" o:hralign="center" o:hrstd="t" o:hr="t" fillcolor="#a0a0a0" stroked="f"/>
        </w:pict>
      </w:r>
    </w:p>
    <w:p w14:paraId="553E3687" w14:textId="77777777" w:rsidR="001009C9" w:rsidRPr="001009C9" w:rsidRDefault="001009C9" w:rsidP="001009C9">
      <w:pPr>
        <w:rPr>
          <w:b/>
          <w:bCs/>
        </w:rPr>
      </w:pPr>
      <w:r w:rsidRPr="001009C9">
        <w:rPr>
          <w:b/>
          <w:bCs/>
        </w:rPr>
        <w:t>Results / Impact</w:t>
      </w:r>
    </w:p>
    <w:p w14:paraId="4EBEABFD" w14:textId="77777777" w:rsidR="001009C9" w:rsidRPr="001009C9" w:rsidRDefault="001009C9" w:rsidP="001009C9">
      <w:r w:rsidRPr="001009C9">
        <w:t xml:space="preserve">Within six months, the clinic was awarded a </w:t>
      </w:r>
      <w:r w:rsidRPr="001009C9">
        <w:rPr>
          <w:b/>
          <w:bCs/>
        </w:rPr>
        <w:t>$250,000 federal grant</w:t>
      </w:r>
      <w:r w:rsidRPr="001009C9">
        <w:t xml:space="preserve"> to expand its telehealth services for patients with diabetes and cardiovascular disease. The proposal’s narrative strength, use of community health data, and clear metrics for evaluation were noted by reviewers as exemplary.</w:t>
      </w:r>
    </w:p>
    <w:p w14:paraId="03D8E5AD" w14:textId="77777777" w:rsidR="001009C9" w:rsidRPr="001009C9" w:rsidRDefault="001009C9" w:rsidP="001009C9">
      <w:r w:rsidRPr="001009C9">
        <w:t xml:space="preserve">Equally important, the clinic’s internal culture </w:t>
      </w:r>
      <w:proofErr w:type="gramStart"/>
      <w:r w:rsidRPr="001009C9">
        <w:t>shifted</w:t>
      </w:r>
      <w:proofErr w:type="gramEnd"/>
      <w:r w:rsidRPr="001009C9">
        <w:t>. They now maintain a system for collecting outcome data, track quarterly metrics, and have continued submitting successful proposals to both state and private funders.</w:t>
      </w:r>
    </w:p>
    <w:p w14:paraId="32EFCC61" w14:textId="77777777" w:rsidR="001009C9" w:rsidRPr="001009C9" w:rsidRDefault="001009C9" w:rsidP="001009C9">
      <w:r w:rsidRPr="001009C9">
        <w:t xml:space="preserve">Today, the clinic not only serves more patients but also models </w:t>
      </w:r>
      <w:r w:rsidRPr="001009C9">
        <w:rPr>
          <w:i/>
          <w:iCs/>
        </w:rPr>
        <w:t>funding readiness as sustainability</w:t>
      </w:r>
      <w:r w:rsidRPr="001009C9">
        <w:t xml:space="preserve">—ensuring that every grant </w:t>
      </w:r>
      <w:proofErr w:type="gramStart"/>
      <w:r w:rsidRPr="001009C9">
        <w:t>advances</w:t>
      </w:r>
      <w:proofErr w:type="gramEnd"/>
      <w:r w:rsidRPr="001009C9">
        <w:t xml:space="preserve"> measurable, lasting community health benefits.</w:t>
      </w:r>
    </w:p>
    <w:p w14:paraId="3480775C" w14:textId="77777777" w:rsidR="001009C9" w:rsidRPr="001009C9" w:rsidRDefault="001009C9" w:rsidP="001009C9">
      <w:r w:rsidRPr="001009C9">
        <w:pict w14:anchorId="3A60F205">
          <v:rect id="_x0000_i1058" style="width:0;height:1.5pt" o:hralign="center" o:hrstd="t" o:hr="t" fillcolor="#a0a0a0" stroked="f"/>
        </w:pict>
      </w:r>
    </w:p>
    <w:p w14:paraId="3F6FE142" w14:textId="77777777" w:rsidR="001009C9" w:rsidRPr="001009C9" w:rsidRDefault="001009C9" w:rsidP="001009C9">
      <w:pPr>
        <w:rPr>
          <w:b/>
          <w:bCs/>
        </w:rPr>
      </w:pPr>
      <w:r w:rsidRPr="001009C9">
        <w:rPr>
          <w:b/>
          <w:bCs/>
        </w:rPr>
        <w:t>Key Takeaway</w:t>
      </w:r>
    </w:p>
    <w:p w14:paraId="42217CD7" w14:textId="77777777" w:rsidR="001009C9" w:rsidRPr="001009C9" w:rsidRDefault="001009C9" w:rsidP="001009C9">
      <w:r w:rsidRPr="001009C9">
        <w:t>Rural health organizations often have strong missions but lack the tools to translate passion into fundable, data-driven proposals. Helping this clinic bridge that gap reaffirmed a lesson I’ve learned repeatedly:</w:t>
      </w:r>
    </w:p>
    <w:p w14:paraId="19BF121C" w14:textId="77777777" w:rsidR="001009C9" w:rsidRPr="001009C9" w:rsidRDefault="001009C9" w:rsidP="001009C9">
      <w:r w:rsidRPr="001009C9">
        <w:rPr>
          <w:b/>
          <w:bCs/>
        </w:rPr>
        <w:t xml:space="preserve">Successful grant writing isn’t about chasing </w:t>
      </w:r>
      <w:proofErr w:type="gramStart"/>
      <w:r w:rsidRPr="001009C9">
        <w:rPr>
          <w:b/>
          <w:bCs/>
        </w:rPr>
        <w:t>funding—</w:t>
      </w:r>
      <w:proofErr w:type="gramEnd"/>
      <w:r w:rsidRPr="001009C9">
        <w:rPr>
          <w:b/>
          <w:bCs/>
        </w:rPr>
        <w:t>it’s about telling a story of readiness, resilience, and measurable change.</w:t>
      </w:r>
    </w:p>
    <w:p w14:paraId="52267305" w14:textId="77777777" w:rsidR="001009C9" w:rsidRPr="001009C9" w:rsidRDefault="001009C9" w:rsidP="001009C9">
      <w:r w:rsidRPr="001009C9">
        <w:pict w14:anchorId="34318FF2">
          <v:rect id="_x0000_i1059" style="width:0;height:1.5pt" o:hralign="center" o:hrstd="t" o:hr="t" fillcolor="#a0a0a0" stroked="f"/>
        </w:pict>
      </w:r>
    </w:p>
    <w:p w14:paraId="251AB875" w14:textId="77777777" w:rsidR="007176C5" w:rsidRDefault="007176C5"/>
    <w:sectPr w:rsidR="00717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369E9"/>
    <w:multiLevelType w:val="multilevel"/>
    <w:tmpl w:val="D37A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45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C9"/>
    <w:rsid w:val="000C1A48"/>
    <w:rsid w:val="001009C9"/>
    <w:rsid w:val="002348D1"/>
    <w:rsid w:val="002B433F"/>
    <w:rsid w:val="00503428"/>
    <w:rsid w:val="005531D9"/>
    <w:rsid w:val="00620567"/>
    <w:rsid w:val="007176C5"/>
    <w:rsid w:val="00DC4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EA81C"/>
  <w15:chartTrackingRefBased/>
  <w15:docId w15:val="{9A515562-A641-4D72-9E48-8729A01E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9C9"/>
    <w:rPr>
      <w:rFonts w:eastAsiaTheme="majorEastAsia" w:cstheme="majorBidi"/>
      <w:color w:val="272727" w:themeColor="text1" w:themeTint="D8"/>
    </w:rPr>
  </w:style>
  <w:style w:type="paragraph" w:styleId="Title">
    <w:name w:val="Title"/>
    <w:basedOn w:val="Normal"/>
    <w:next w:val="Normal"/>
    <w:link w:val="TitleChar"/>
    <w:uiPriority w:val="10"/>
    <w:qFormat/>
    <w:rsid w:val="00100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9C9"/>
    <w:pPr>
      <w:spacing w:before="160"/>
      <w:jc w:val="center"/>
    </w:pPr>
    <w:rPr>
      <w:i/>
      <w:iCs/>
      <w:color w:val="404040" w:themeColor="text1" w:themeTint="BF"/>
    </w:rPr>
  </w:style>
  <w:style w:type="character" w:customStyle="1" w:styleId="QuoteChar">
    <w:name w:val="Quote Char"/>
    <w:basedOn w:val="DefaultParagraphFont"/>
    <w:link w:val="Quote"/>
    <w:uiPriority w:val="29"/>
    <w:rsid w:val="001009C9"/>
    <w:rPr>
      <w:i/>
      <w:iCs/>
      <w:color w:val="404040" w:themeColor="text1" w:themeTint="BF"/>
    </w:rPr>
  </w:style>
  <w:style w:type="paragraph" w:styleId="ListParagraph">
    <w:name w:val="List Paragraph"/>
    <w:basedOn w:val="Normal"/>
    <w:uiPriority w:val="34"/>
    <w:qFormat/>
    <w:rsid w:val="001009C9"/>
    <w:pPr>
      <w:ind w:left="720"/>
      <w:contextualSpacing/>
    </w:pPr>
  </w:style>
  <w:style w:type="character" w:styleId="IntenseEmphasis">
    <w:name w:val="Intense Emphasis"/>
    <w:basedOn w:val="DefaultParagraphFont"/>
    <w:uiPriority w:val="21"/>
    <w:qFormat/>
    <w:rsid w:val="001009C9"/>
    <w:rPr>
      <w:i/>
      <w:iCs/>
      <w:color w:val="0F4761" w:themeColor="accent1" w:themeShade="BF"/>
    </w:rPr>
  </w:style>
  <w:style w:type="paragraph" w:styleId="IntenseQuote">
    <w:name w:val="Intense Quote"/>
    <w:basedOn w:val="Normal"/>
    <w:next w:val="Normal"/>
    <w:link w:val="IntenseQuoteChar"/>
    <w:uiPriority w:val="30"/>
    <w:qFormat/>
    <w:rsid w:val="00100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9C9"/>
    <w:rPr>
      <w:i/>
      <w:iCs/>
      <w:color w:val="0F4761" w:themeColor="accent1" w:themeShade="BF"/>
    </w:rPr>
  </w:style>
  <w:style w:type="character" w:styleId="IntenseReference">
    <w:name w:val="Intense Reference"/>
    <w:basedOn w:val="DefaultParagraphFont"/>
    <w:uiPriority w:val="32"/>
    <w:qFormat/>
    <w:rsid w:val="00100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2615</Characters>
  <Application>Microsoft Office Word</Application>
  <DocSecurity>0</DocSecurity>
  <Lines>54</Lines>
  <Paragraphs>19</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Philbrick</dc:creator>
  <cp:keywords/>
  <dc:description/>
  <cp:lastModifiedBy>Brad Philbrick</cp:lastModifiedBy>
  <cp:revision>1</cp:revision>
  <dcterms:created xsi:type="dcterms:W3CDTF">2025-10-16T15:00:00Z</dcterms:created>
  <dcterms:modified xsi:type="dcterms:W3CDTF">2025-10-16T15:02:00Z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bc069f5b-950a-4715-8900-8789a5c49c4c</vt:lpwstr>
  </property>
</Properties>
</file>